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金融理财实务与规范</w:t>
      </w:r>
    </w:p>
    <w:p>
      <w:r>
        <w:rPr>
          <w:rFonts w:ascii="宋体" w:hAnsi="宋体" w:eastAsia="宋体"/>
          <w:sz w:val="24"/>
        </w:rPr>
        <w:t>上海国际金融中心研究会,上海市职业能力考试院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金融理财实务与规范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上海国际金融中心研究会,上海市职业能力考试院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9787208100961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金融投资-资格考试-教材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本书是上海市金融理财专业技术水平认证考试用书之一。主要阐释作为金融理财师需具备的基本知识技能，对职业规范、职业道德、相关法律法规以及组织和管理进行了说明。</w:t>
      </w:r>
    </w:p>
    <w:p/>
    <w:p>
      <w:r>
        <w:t>本书出售、求购地址：https://www.jiaokey.com/book/detail/12888748.html</w:t>
      </w:r>
    </w:p>
    <w:p>
      <w:r>
        <w:t>更多金融、银行理论图书推荐：https://www.jiaokey.com</w:t>
      </w:r>
    </w:p>
    <w:p>
      <w:r>
        <w:t>上海国际金融中心研究会,上海市职业能力考试院 其他作品：https://www.jiaokey.com/tag/上海国际金融中心研究会,上海市职业能力考试院.html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关键词搜索：https://www.jiaokey.com/tag/金融投资-资格考试-教材.html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