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碑传集  原第26册至第30册  督抚·河臣·监司</w:t>
      </w:r>
    </w:p>
    <w:p>
      <w:r>
        <w:rPr>
          <w:rFonts w:ascii="宋体" w:hAnsi="宋体" w:eastAsia="宋体"/>
          <w:sz w:val="24"/>
        </w:rPr>
        <w:t>钱仪吉编；本社编辑部编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碑传集  原第26册至第30册  督抚·河臣·监司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钱仪吉编；本社编辑部编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本书出售、求购地址：https://www.jiaokey.com/book/detail/12887760.html</w:t>
      </w:r>
    </w:p>
    <w:p>
      <w:r>
        <w:t>更多相关图书推荐：https://www.jiaokey.com</w:t>
      </w:r>
    </w:p>
    <w:p>
      <w:r>
        <w:t>钱仪吉编；本社编辑部编 其他作品：https://www.jiaokey.com/tag/钱仪吉编；本社编辑部编.html</w:t>
      </w:r>
    </w:p>
    <w:p>
      <w:r>
        <w:t>文海出版社有限公司 出版图书：https://www.jiaokey.com/tag/文海出版社有限公司.html</w:t>
      </w:r>
    </w:p>
    <w:p>
      <w:r>
        <w:t>关键词搜索：https://www.jiaokey.com/tag/碑传集  原第26册至第30册  督抚·河臣·监司.html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