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十二寡妇出征之二  强取卧虎山</w:t>
      </w:r>
    </w:p>
    <w:p>
      <w:r>
        <w:rPr>
          <w:rFonts w:ascii="宋体" w:hAnsi="宋体" w:eastAsia="宋体"/>
          <w:sz w:val="24"/>
        </w:rPr>
        <w:t>刘耀忠改编；赵晓明绘画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十二寡妇出征之二  强取卧虎山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刘耀忠改编；赵晓明绘画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本书出售、求购地址：https://www.jiaokey.com/book/detail/12886115.html</w:t>
      </w:r>
    </w:p>
    <w:p>
      <w:r>
        <w:t>更多相关图书推荐：https://www.jiaokey.com</w:t>
      </w:r>
    </w:p>
    <w:p>
      <w:r>
        <w:t>刘耀忠改编；赵晓明绘画 其他作品：https://www.jiaokey.com/tag/刘耀忠改编；赵晓明绘画.html</w:t>
      </w:r>
    </w:p>
    <w:p>
      <w:r>
        <w:t>郑州:中原农民出版社 出版图书：https://www.jiaokey.com/tag/郑州:中原农民出版社.html</w:t>
      </w:r>
    </w:p>
    <w:p>
      <w:r>
        <w:t>关键词搜索：https://www.jiaokey.com/tag/十二寡妇出征之二  强取卧虎山.html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