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钦差大臣</w:t>
      </w:r>
    </w:p>
    <w:p>
      <w:r>
        <w:rPr>
          <w:rFonts w:ascii="宋体" w:hAnsi="宋体" w:eastAsia="宋体"/>
          <w:sz w:val="24"/>
        </w:rPr>
        <w:t>（俄）果戈理原著；褚伯承改编；田大军绘画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钦差大臣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（俄）果戈理原著；褚伯承改编；田大军绘画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本书出售、求购地址：https://www.jiaokey.com/book/detail/12886007.html</w:t>
      </w:r>
    </w:p>
    <w:p>
      <w:r>
        <w:t>更多相关图书推荐：https://www.jiaokey.com</w:t>
      </w:r>
    </w:p>
    <w:p>
      <w:r>
        <w:t>（俄）果戈理原著；褚伯承改编；田大军绘画 其他作品：https://www.jiaokey.com/tag/（俄）果戈理原著；褚伯承改编；田大军绘画.html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关键词搜索：https://www.jiaokey.com/tag/钦差大臣.html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