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“燕子”李三全传  2  李三出世</w:t>
      </w:r>
    </w:p>
    <w:p>
      <w:r>
        <w:rPr>
          <w:rFonts w:ascii="宋体" w:hAnsi="宋体" w:eastAsia="宋体"/>
          <w:sz w:val="24"/>
        </w:rPr>
        <w:t>柳溪原著；文治改编；郭占魁，赵正阳，张弘明绘画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“燕子”李三全传  2  李三出世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柳溪原著；文治改编；郭占魁，赵正阳，张弘明绘画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本书出售、求购地址：https://www.jiaokey.com/book/detail/12885606.html</w:t>
      </w:r>
    </w:p>
    <w:p>
      <w:r>
        <w:t>更多相关图书推荐：https://www.jiaokey.com</w:t>
      </w:r>
    </w:p>
    <w:p>
      <w:r>
        <w:t>柳溪原著；文治改编；郭占魁，赵正阳，张弘明绘画 其他作品：https://www.jiaokey.com/tag/柳溪原著；文治改编；郭占魁，赵正阳，张弘明绘画.html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关键词搜索：https://www.jiaokey.com/tag/“燕子”李三全传  2  李三出世.html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