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应用篇</w:t>
      </w:r>
    </w:p>
    <w:p>
      <w:r>
        <w:rPr>
          <w:rFonts w:ascii="宋体" w:hAnsi="宋体" w:eastAsia="宋体"/>
          <w:sz w:val="24"/>
        </w:rPr>
        <w:t>近藤泰夫，石原藤次郎，米谷荣二共著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近藤泰夫，石原藤次郎，米谷荣二共著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本书出售、求购地址：https://www.jiaokey.com/book/detail/12883111.html</w:t>
      </w:r>
    </w:p>
    <w:p>
      <w:r>
        <w:t>更多相关图书推荐：https://www.jiaokey.com</w:t>
      </w:r>
    </w:p>
    <w:p>
      <w:r>
        <w:t>近藤泰夫，石原藤次郎，米谷荣二共著 其他作品：https://www.jiaokey.com/tag/近藤泰夫，石原藤次郎，米谷荣二共著.html</w:t>
      </w:r>
    </w:p>
    <w:p>
      <w:r>
        <w:t>丸善株式会社 出版图书：https://www.jiaokey.com/tag/丸善株式会社.html</w:t>
      </w:r>
    </w:p>
    <w:p>
      <w:r>
        <w:t>关键词搜索：https://www.jiaokey.com/tag/测量学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