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宝瓶喷泉</w:t>
      </w:r>
    </w:p>
    <w:p>
      <w:r>
        <w:rPr>
          <w:rFonts w:ascii="宋体" w:hAnsi="宋体" w:eastAsia="宋体"/>
          <w:sz w:val="24"/>
        </w:rPr>
        <w:t>李彤，谭松兴编文；林峥明绘画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宝瓶喷泉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李彤，谭松兴编文；林峥明绘画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本书出售、求购地址：https://www.jiaokey.com/book/detail/12882531.html</w:t>
      </w:r>
    </w:p>
    <w:p>
      <w:r>
        <w:t>更多相关图书推荐：https://www.jiaokey.com</w:t>
      </w:r>
    </w:p>
    <w:p>
      <w:r>
        <w:t>李彤，谭松兴编文；林峥明绘画 其他作品：https://www.jiaokey.com/tag/李彤，谭松兴编文；林峥明绘画.html</w:t>
      </w:r>
    </w:p>
    <w:p>
      <w:r>
        <w:t>岭志美术出版社 出版图书：https://www.jiaokey.com/tag/岭志美术出版社.html</w:t>
      </w:r>
    </w:p>
    <w:p>
      <w:r>
        <w:t>关键词搜索：https://www.jiaokey.com/tag/宝瓶喷泉.html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