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出纳计划的编制与执行</w:t>
      </w:r>
    </w:p>
    <w:p>
      <w:r>
        <w:rPr>
          <w:rFonts w:ascii="宋体" w:hAnsi="宋体" w:eastAsia="宋体"/>
          <w:sz w:val="24"/>
        </w:rPr>
        <w:t>（苏）斯维士尼柯夫（М.Н.Свешников）等撰；中国人民银行总行专家工作室译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出纳计划的编制与执行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（苏）斯维士尼柯夫（М.Н.Свешников）等撰；中国人民银行总行专家工作室译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本书出售、求购地址：https://www.jiaokey.com/book/detail/12881445.html</w:t>
      </w:r>
    </w:p>
    <w:p>
      <w:r>
        <w:t>更多相关图书推荐：https://www.jiaokey.com</w:t>
      </w:r>
    </w:p>
    <w:p>
      <w:r>
        <w:t>（苏）斯维士尼柯夫（М.Н.Свешников）等撰；中国人民银行总行专家工作室译 其他作品：https://www.jiaokey.com/tag/（苏）斯维士尼柯夫（М.Н.Свешников）等撰；中国人民银行总行专家工作室译.html</w:t>
      </w:r>
    </w:p>
    <w:p>
      <w:r>
        <w:t>中国金融学会 出版图书：https://www.jiaokey.com/tag/中国金融学会.html</w:t>
      </w:r>
    </w:p>
    <w:p>
      <w:r>
        <w:t>关键词搜索：https://www.jiaokey.com/tag/出纳计划的编制与执行.html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