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</w:t>
      </w:r>
    </w:p>
    <w:p>
      <w:r>
        <w:rPr>
          <w:rFonts w:ascii="宋体" w:hAnsi="宋体" w:eastAsia="宋体"/>
          <w:sz w:val="24"/>
        </w:rPr>
        <w:t>（苏）瓦·符·巴里，雅·符·索科洛夫著；王立才，吴静媛，王英华译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（苏）瓦·符·巴里，雅·符·索科洛夫著；王立才，吴静媛，王英华译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本书出售、求购地址：https://www.jiaokey.com/book/detail/12880983.html</w:t>
      </w:r>
    </w:p>
    <w:p>
      <w:r>
        <w:t>更多相关图书推荐：https://www.jiaokey.com</w:t>
      </w:r>
    </w:p>
    <w:p>
      <w:r>
        <w:t>（苏）瓦·符·巴里，雅·符·索科洛夫著；王立才，吴静媛，王英华译 其他作品：https://www.jiaokey.com/tag/（苏）瓦·符·巴里，雅·符·索科洛夫著；王立才，吴静媛，王英华译.html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