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辫子功  下</w:t>
      </w:r>
    </w:p>
    <w:p>
      <w:r>
        <w:rPr>
          <w:rFonts w:ascii="宋体" w:hAnsi="宋体" w:eastAsia="宋体"/>
          <w:sz w:val="24"/>
        </w:rPr>
        <w:t>冯骥才原著；罗学渊改编；刘书军，冷萍绘画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冯骥才原著；罗学渊改编；刘书军，冷萍绘画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本书出售、求购地址：https://www.jiaokey.com/book/detail/12880214.html</w:t>
      </w:r>
    </w:p>
    <w:p>
      <w:r>
        <w:t>更多相关图书推荐：https://www.jiaokey.com</w:t>
      </w:r>
    </w:p>
    <w:p>
      <w:r>
        <w:t>冯骥才原著；罗学渊改编；刘书军，冷萍绘画 其他作品：https://www.jiaokey.com/tag/冯骥才原著；罗学渊改编；刘书军，冷萍绘画.html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关键词搜索：https://www.jiaokey.com/tag/辫子功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