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罗将家之二  闹京都</w:t>
      </w:r>
    </w:p>
    <w:p>
      <w:r>
        <w:rPr>
          <w:rFonts w:ascii="宋体" w:hAnsi="宋体" w:eastAsia="宋体"/>
          <w:sz w:val="24"/>
        </w:rPr>
        <w:t>张企荣编文；高志兵，钱贵荪，王建，徐有武，罗希贤，黄小金绘画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罗将家之二  闹京都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张企荣编文；高志兵，钱贵荪，王建，徐有武，罗希贤，黄小金绘画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本书出售、求购地址：https://www.jiaokey.com/book/detail/12880203.html</w:t>
      </w:r>
    </w:p>
    <w:p>
      <w:r>
        <w:t>更多相关图书推荐：https://www.jiaokey.com</w:t>
      </w:r>
    </w:p>
    <w:p>
      <w:r>
        <w:t>张企荣编文；高志兵，钱贵荪，王建，徐有武，罗希贤，黄小金绘画 其他作品：https://www.jiaokey.com/tag/张企荣编文；高志兵，钱贵荪，王建，徐有武，罗希贤，黄小金绘画.html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关键词搜索：https://www.jiaokey.com/tag/罗将家之二  闹京都.html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