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说唐  4  夺玺伏群王</w:t>
      </w:r>
    </w:p>
    <w:p>
      <w:r>
        <w:rPr>
          <w:rFonts w:ascii="宋体" w:hAnsi="宋体" w:eastAsia="宋体"/>
          <w:sz w:val="24"/>
        </w:rPr>
        <w:t>对宇改编；刘左钧绘画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说唐  4  夺玺伏群王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对宇改编；刘左钧绘画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长沙:湖南美术出版社,1982.06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本书出售、求购地址：https://www.jiaokey.com/book/detail/12880060.html</w:t>
      </w:r>
    </w:p>
    <w:p>
      <w:r>
        <w:t>更多相关图书推荐：https://www.jiaokey.com</w:t>
      </w:r>
    </w:p>
    <w:p>
      <w:r>
        <w:t>对宇改编；刘左钧绘画 其他作品：https://www.jiaokey.com/tag/对宇改编；刘左钧绘画.html</w:t>
      </w:r>
    </w:p>
    <w:p>
      <w:r>
        <w:t>长沙:湖南美术出版社,1982.06 出版图书：https://www.jiaokey.com/tag/长沙:湖南美术出版社,1982.06.html</w:t>
      </w:r>
    </w:p>
    <w:p>
      <w:r>
        <w:t>关键词搜索：https://www.jiaokey.com/tag/说唐  4  夺玺伏群王.html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