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君子国</w:t>
      </w:r>
    </w:p>
    <w:p>
      <w:r>
        <w:rPr>
          <w:rFonts w:ascii="宋体" w:hAnsi="宋体" w:eastAsia="宋体"/>
          <w:sz w:val="24"/>
        </w:rPr>
        <w:t>李汝珍原著；锡明改编；秀功，聂磊，聂聪绘画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君子国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李汝珍原著；锡明改编；秀功，聂磊，聂聪绘画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本书出售、求购地址：https://www.jiaokey.com/book/detail/12879804.html</w:t>
      </w:r>
    </w:p>
    <w:p>
      <w:r>
        <w:t>更多相关图书推荐：https://www.jiaokey.com</w:t>
      </w:r>
    </w:p>
    <w:p>
      <w:r>
        <w:t>李汝珍原著；锡明改编；秀功，聂磊，聂聪绘画 其他作品：https://www.jiaokey.com/tag/李汝珍原著；锡明改编；秀功，聂磊，聂聪绘画.html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关键词搜索：https://www.jiaokey.com/tag/镜花缘  君子国.html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