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资本经营与操作  造就经济巨人和企业王国</w:t>
      </w:r>
    </w:p>
    <w:p>
      <w:r>
        <w:rPr>
          <w:rFonts w:ascii="宋体" w:hAnsi="宋体" w:eastAsia="宋体"/>
          <w:sz w:val="24"/>
        </w:rPr>
        <w:t>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资本经营与操作  造就经济巨人和企业王国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明窗出版社有限公司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本书出售、求购地址：https://www.jiaokey.com/book/detail/12877761.html</w:t>
      </w:r>
    </w:p>
    <w:p>
      <w:r>
        <w:t>更多相关图书推荐：https://www.jiaokey.com</w:t>
      </w:r>
    </w:p>
    <w:p>
      <w:r>
        <w:t>高勇著 其他作品：https://www.jiaokey.com/tag/高勇著.html</w:t>
      </w:r>
    </w:p>
    <w:p>
      <w:r>
        <w:t>明窗出版社有限公司 出版图书：https://www.jiaokey.com/tag/明窗出版社有限公司.html</w:t>
      </w:r>
    </w:p>
    <w:p>
      <w:r>
        <w:t>关键词搜索：https://www.jiaokey.com/tag/资本经营与操作  造就经济巨人和企业王国.html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