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全球价值链视角下地方产业集群升级机理研究：以浙东产业集群升级为例</w:t>
      </w:r>
    </w:p>
    <w:p>
      <w:r>
        <w:rPr>
          <w:rFonts w:ascii="宋体" w:hAnsi="宋体" w:eastAsia="宋体"/>
          <w:sz w:val="24"/>
        </w:rPr>
        <w:t>王传宝著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全球价值链视角下地方产业集群升级机理研究：以浙东产业集群升级为例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本书出售、求购地址：https://www.jiaokey.com/book/detail/12877569.html</w:t>
      </w:r>
    </w:p>
    <w:p>
      <w:r>
        <w:t>更多相关图书推荐：https://www.jiaokey.com</w:t>
      </w:r>
    </w:p>
    <w:p>
      <w:r>
        <w:t>王传宝著 其他作品：https://www.jiaokey.com/tag/王传宝著.html</w:t>
      </w:r>
    </w:p>
    <w:p>
      <w:r>
        <w:t>关键词搜索：https://www.jiaokey.com/tag/全球价值链视角下地方产业集群升级机理研究：以浙东产业集群升级为例.html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