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新三板挂牌操作流程</w:t>
      </w:r>
    </w:p>
    <w:p>
      <w:r>
        <w:rPr>
          <w:rFonts w:ascii="宋体" w:hAnsi="宋体" w:eastAsia="宋体"/>
          <w:sz w:val="24"/>
        </w:rPr>
        <w:t>敬景程，李正国主编；李群河，何勇，柏艳梅副主编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敬景程，李正国主编；李群河，何勇，柏艳梅副主编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本书出售、求购地址：https://www.jiaokey.com/book/detail/12877333.html</w:t>
      </w:r>
    </w:p>
    <w:p>
      <w:r>
        <w:t>更多相关图书推荐：https://www.jiaokey.com</w:t>
      </w:r>
    </w:p>
    <w:p>
      <w:r>
        <w:t>敬景程，李正国主编；李群河，何勇，柏艳梅副主编 其他作品：https://www.jiaokey.com/tag/敬景程，李正国主编；李群河，何勇，柏艳梅副主编.html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关键词搜索：https://www.jiaokey.com/tag/证劵投资-研究-中国.html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