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 第2版</w:t>
      </w:r>
    </w:p>
    <w:p>
      <w:r>
        <w:rPr>
          <w:rFonts w:ascii="宋体" w:hAnsi="宋体" w:eastAsia="宋体"/>
          <w:sz w:val="24"/>
        </w:rPr>
        <w:t>赵雁南，温冬婵，杨泽红编著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赵雁南，温冬婵，杨泽红编著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本书出售、求购地址：https://www.jiaokey.com/book/detail/12876495.html</w:t>
      </w:r>
    </w:p>
    <w:p>
      <w:r>
        <w:t>更多相关图书推荐：https://www.jiaokey.com</w:t>
      </w:r>
    </w:p>
    <w:p>
      <w:r>
        <w:t>赵雁南，温冬婵，杨泽红编著 其他作品：https://www.jiaokey.com/tag/赵雁南，温冬婵，杨泽红编著.html</w:t>
      </w:r>
    </w:p>
    <w:p>
      <w:r>
        <w:t>关键词搜索：https://www.jiaokey.com/tag/微型计算机系统与接口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