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追捕“二王”</w:t>
      </w:r>
    </w:p>
    <w:p>
      <w:r>
        <w:rPr>
          <w:rFonts w:ascii="宋体" w:hAnsi="宋体" w:eastAsia="宋体"/>
          <w:sz w:val="24"/>
        </w:rPr>
        <w:t>李宏林原著；孙锦常改编；陶穗洪，骆耀棠绘画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追捕“二王”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李宏林原著；孙锦常改编；陶穗洪，骆耀棠绘画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本书出售、求购地址：https://www.jiaokey.com/book/detail/12875913.html</w:t>
      </w:r>
    </w:p>
    <w:p>
      <w:r>
        <w:t>更多相关图书推荐：https://www.jiaokey.com</w:t>
      </w:r>
    </w:p>
    <w:p>
      <w:r>
        <w:t>李宏林原著；孙锦常改编；陶穗洪，骆耀棠绘画 其他作品：https://www.jiaokey.com/tag/李宏林原著；孙锦常改编；陶穗洪，骆耀棠绘画.html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关键词搜索：https://www.jiaokey.com/tag/追捕“二王”.html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