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金融卷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本书出售、求购地址：https://www.jiaokey.com/book/detail/12874300.html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关键词搜索：https://www.jiaokey.com/tag/最高人民法院商事审判指导案例  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