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外语论丛</w:t>
      </w:r>
    </w:p>
    <w:p>
      <w:r>
        <w:rPr>
          <w:rFonts w:ascii="宋体" w:hAnsi="宋体" w:eastAsia="宋体"/>
          <w:sz w:val="24"/>
        </w:rPr>
        <w:t>王泽霞，赵玉娟，邱丽杰，吴丽彦主编；冯艳荣主审；陆芸，孙丽华，马建华，王艳华，张淑媛，宋继红副主编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王泽霞，赵玉娟，邱丽杰，吴丽彦主编；冯艳荣主审；陆芸，孙丽华，马建华，王艳华，张淑媛，宋继红副主编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本书出售、求购地址：https://www.jiaokey.com/book/detail/12874084.html</w:t>
      </w:r>
    </w:p>
    <w:p>
      <w:r>
        <w:t>更多相关图书推荐：https://www.jiaokey.com</w:t>
      </w:r>
    </w:p>
    <w:p>
      <w:r>
        <w:t>王泽霞，赵玉娟，邱丽杰，吴丽彦主编；冯艳荣主审；陆芸，孙丽华，马建华，王艳华，张淑媛，宋继红副主编 其他作品：https://www.jiaokey.com/tag/王泽霞，赵玉娟，邱丽杰，吴丽彦主编；冯艳荣主审；陆芸，孙丽华，马建华，王艳华，张淑媛，宋继红副主编.html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关键词搜索：https://www.jiaokey.com/tag/外语论丛.html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