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唇亡齿寒</w:t>
      </w:r>
    </w:p>
    <w:p>
      <w:r>
        <w:rPr>
          <w:rFonts w:ascii="宋体" w:hAnsi="宋体" w:eastAsia="宋体"/>
          <w:sz w:val="24"/>
        </w:rPr>
        <w:t>潘勤孟改编；施大畏，韩硕绘画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87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3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87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唇亡齿寒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潘勤孟改编；施大畏，韩硕绘画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上海:上海人民美术出版社,1981.07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本书出售、求购地址：https://www.jiaokey.com/book/detail/12873731.html</w:t>
      </w:r>
    </w:p>
    <w:p>
      <w:r>
        <w:t>更多相关图书推荐：https://www.jiaokey.com</w:t>
      </w:r>
    </w:p>
    <w:p>
      <w:r>
        <w:t>潘勤孟改编；施大畏，韩硕绘画 其他作品：https://www.jiaokey.com/tag/潘勤孟改编；施大畏，韩硕绘画.html</w:t>
      </w:r>
    </w:p>
    <w:p>
      <w:r>
        <w:t>上海:上海人民美术出版社,1981.07 出版图书：https://www.jiaokey.com/tag/上海:上海人民美术出版社,1981.07.html</w:t>
      </w:r>
    </w:p>
    <w:p>
      <w:r>
        <w:t>关键词搜索：https://www.jiaokey.com/tag/东周列国故事  唇亡齿寒.html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