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书名：炼钢铸魂  水钢集团扭亏增盈解读</w:t>
      </w:r>
    </w:p>
    <w:p>
      <w:r>
        <w:t>作者：黄钧儒等撰稿</w:t>
      </w:r>
    </w:p>
    <w:p>
      <w:r>
        <w:t>出版社：贵阳：贵州人民出版社</w:t>
      </w:r>
    </w:p>
    <w:p>
      <w:r>
        <w:t>出版日期：2001</w:t>
      </w:r>
    </w:p>
    <w:p>
      <w:r>
        <w:t>总页数：200</w:t>
      </w:r>
    </w:p>
    <w:p>
      <w:r>
        <w:t>更多请访问教客网: www.jiaokey.com</w:t>
      </w:r>
    </w:p>
    <w:p>
      <w:r>
        <w:t>炼钢铸魂  水钢集团扭亏增盈解读 评论地址：https://www.jiaokey.com/book/detail/12872345.html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