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300种情意  状况表现法  中翻英</w:t>
      </w:r>
    </w:p>
    <w:p>
      <w:r>
        <w:rPr>
          <w:rFonts w:ascii="宋体" w:hAnsi="宋体" w:eastAsia="宋体"/>
          <w:sz w:val="24"/>
        </w:rPr>
        <w:t>钱冠连编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300种情意  状况表现法  中翻英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笛籐出版图书有限公司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本书出售、求购地址：https://www.jiaokey.com/book/detail/12872038.html</w:t>
      </w:r>
    </w:p>
    <w:p>
      <w:r>
        <w:t>更多相关图书推荐：https://www.jiaokey.com</w:t>
      </w:r>
    </w:p>
    <w:p>
      <w:r>
        <w:t>钱冠连编 其他作品：https://www.jiaokey.com/tag/钱冠连编.html</w:t>
      </w:r>
    </w:p>
    <w:p>
      <w:r>
        <w:t>笛籐出版图书有限公司 出版图书：https://www.jiaokey.com/tag/笛籐出版图书有限公司.html</w:t>
      </w:r>
    </w:p>
    <w:p>
      <w:r>
        <w:t>关键词搜索：https://www.jiaokey.com/tag/300种情意  状况表现法  中翻英.html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