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百花齐放听新莺  抽象继承法  提出的时机及其失与得</w:t>
      </w:r>
    </w:p>
    <w:p>
      <w:r>
        <w:rPr>
          <w:rFonts w:ascii="宋体" w:hAnsi="宋体" w:eastAsia="宋体"/>
          <w:sz w:val="24"/>
        </w:rPr>
        <w:t>翟志成撰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百花齐放听新莺  抽象继承法  提出的时机及其失与得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本书出售、求购地址：https://www.jiaokey.com/book/detail/12871978.html</w:t>
      </w:r>
    </w:p>
    <w:p>
      <w:r>
        <w:t>更多相关图书推荐：https://www.jiaokey.com</w:t>
      </w:r>
    </w:p>
    <w:p>
      <w:r>
        <w:t>翟志成撰 其他作品：https://www.jiaokey.com/tag/翟志成撰.html</w:t>
      </w:r>
    </w:p>
    <w:p>
      <w:r>
        <w:t>关键词搜索：https://www.jiaokey.com/tag/百花齐放听新莺  抽象继承法  提出的时机及其失与得.html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