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</w:t>
      </w:r>
    </w:p>
    <w:p>
      <w:r>
        <w:rPr>
          <w:rFonts w:ascii="宋体" w:hAnsi="宋体" w:eastAsia="宋体"/>
          <w:sz w:val="24"/>
        </w:rPr>
        <w:t>（瑞士）艾菲尔·哈斯劳文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（瑞士）艾菲尔·哈斯劳文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本书出售、求购地址：https://www.jiaokey.com/book/detail/12869504.html</w:t>
      </w:r>
    </w:p>
    <w:p>
      <w:r>
        <w:t>更多相关图书推荐：https://www.jiaokey.com</w:t>
      </w:r>
    </w:p>
    <w:p>
      <w:r>
        <w:t>（瑞士）艾菲尔·哈斯劳文 其他作品：https://www.jiaokey.com/tag/（瑞士）艾菲尔·哈斯劳文.html</w:t>
      </w:r>
    </w:p>
    <w:p>
      <w:r>
        <w:t>济南:明天出版社,2011.06 出版图书：https://www.jiaokey.com/tag/济南:明天出版社,2011.06.html</w:t>
      </w:r>
    </w:p>
    <w:p>
      <w:r>
        <w:t>关键词搜索：https://www.jiaokey.com/tag/图画故事-捷克-现代.html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