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实践中的商法：司法解释解读·典型案例分析·商事审判专论</w:t>
      </w:r>
    </w:p>
    <w:p>
      <w:r>
        <w:rPr>
          <w:rFonts w:ascii="宋体" w:hAnsi="宋体" w:eastAsia="宋体"/>
          <w:sz w:val="24"/>
        </w:rPr>
        <w:t>刘敏编著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实践中的商法：司法解释解读·典型案例分析·商事审判专论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本书出售、求购地址：https://www.jiaokey.com/book/detail/12858686.html</w:t>
      </w:r>
    </w:p>
    <w:p>
      <w:r>
        <w:t>更多相关图书推荐：https://www.jiaokey.com</w:t>
      </w:r>
    </w:p>
    <w:p>
      <w:r>
        <w:t>刘敏编著 其他作品：https://www.jiaokey.com/tag/刘敏编著.html</w:t>
      </w:r>
    </w:p>
    <w:p>
      <w:r>
        <w:t>关键词搜索：https://www.jiaokey.com/tag/实践中的商法：司法解释解读·典型案例分析·商事审判专论.html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