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5  侵权纠纷卷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5  侵权纠纷卷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本书出售、求购地址：https://www.jiaokey.com/book/detail/12854537.html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5  侵权纠纷卷.html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