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跨国银行法律规制对国家主权的影响</w:t>
      </w:r>
    </w:p>
    <w:p>
      <w:r>
        <w:rPr>
          <w:rFonts w:ascii="宋体" w:hAnsi="宋体" w:eastAsia="宋体"/>
          <w:sz w:val="24"/>
        </w:rPr>
        <w:t>罗晋京著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跨国银行法律规制对国家主权的影响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本书出售、求购地址：https://www.jiaokey.com/book/detail/12852457.html</w:t>
      </w:r>
    </w:p>
    <w:p>
      <w:r>
        <w:t>更多相关图书推荐：https://www.jiaokey.com</w:t>
      </w:r>
    </w:p>
    <w:p>
      <w:r>
        <w:t>罗晋京著 其他作品：https://www.jiaokey.com/tag/罗晋京著.html</w:t>
      </w:r>
    </w:p>
    <w:p>
      <w:r>
        <w:t>知识产权出版社 出版图书：https://www.jiaokey.com/tag/知识产权出版社.html</w:t>
      </w:r>
    </w:p>
    <w:p>
      <w:r>
        <w:t>关键词搜索：https://www.jiaokey.com/tag/跨国银行法律规制对国家主权的影响.html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