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钟楼怪人</w:t>
      </w:r>
    </w:p>
    <w:p>
      <w:r>
        <w:rPr>
          <w:rFonts w:ascii="宋体" w:hAnsi="宋体" w:eastAsia="宋体"/>
          <w:sz w:val="24"/>
        </w:rPr>
        <w:t>（法）雨果著；钟斯译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钟楼怪人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（法）雨果著；钟斯译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书华出版事业有限公司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本书出售、求购地址：https://www.jiaokey.com/book/detail/12851141.html</w:t>
      </w:r>
    </w:p>
    <w:p>
      <w:r>
        <w:t>更多相关图书推荐：https://www.jiaokey.com</w:t>
      </w:r>
    </w:p>
    <w:p>
      <w:r>
        <w:t>（法）雨果著；钟斯译 其他作品：https://www.jiaokey.com/tag/（法）雨果著；钟斯译.html</w:t>
      </w:r>
    </w:p>
    <w:p>
      <w:r>
        <w:t>书华出版事业有限公司 出版图书：https://www.jiaokey.com/tag/书华出版事业有限公司.html</w:t>
      </w:r>
    </w:p>
    <w:p>
      <w:r>
        <w:t>关键词搜索：https://www.jiaokey.com/tag/钟楼怪人.html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