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民族理论论文汇编 民族经济 （一） 一九八九年</w:t>
      </w:r>
    </w:p>
    <w:p>
      <w:r>
        <w:rPr>
          <w:rFonts w:ascii="宋体" w:hAnsi="宋体" w:eastAsia="宋体"/>
          <w:sz w:val="24"/>
        </w:rPr>
        <w:t>齐犁，王戈柳，孙懿，杨荆楚，果洪升，黄国政，魏忠编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民族理论论文汇编 民族经济 （一） 一九八九年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齐犁，王戈柳，孙懿，杨荆楚，果洪升，黄国政，魏忠编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本书出售、求购地址：https://www.jiaokey.com/book/detail/12850877.html</w:t>
      </w:r>
    </w:p>
    <w:p>
      <w:r>
        <w:t>更多相关图书推荐：https://www.jiaokey.com</w:t>
      </w:r>
    </w:p>
    <w:p>
      <w:r>
        <w:t>齐犁，王戈柳，孙懿，杨荆楚，果洪升，黄国政，魏忠编 其他作品：https://www.jiaokey.com/tag/齐犁，王戈柳，孙懿，杨荆楚，果洪升，黄国政，魏忠编.html</w:t>
      </w:r>
    </w:p>
    <w:p>
      <w:r>
        <w:t>关键词搜索：https://www.jiaokey.com/tag/民族理论论文汇编 民族经济 （一） 一九八九年.html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