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富国为什么富  穷国为什么穷</w:t>
      </w:r>
    </w:p>
    <w:p>
      <w:r>
        <w:rPr>
          <w:rFonts w:ascii="宋体" w:hAnsi="宋体" w:eastAsia="宋体"/>
          <w:sz w:val="24"/>
        </w:rPr>
        <w:t>埃里克·S·赖纳特（ERIK S.REINERT）著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富国为什么富  穷国为什么穷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埃里克·S·赖纳特（ERIK S.REINERT）著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本书出售、求购地址：https://www.jiaokey.com/book/detail/12850519.html</w:t>
      </w:r>
    </w:p>
    <w:p>
      <w:r>
        <w:t>更多相关图书推荐：https://www.jiaokey.com</w:t>
      </w:r>
    </w:p>
    <w:p>
      <w:r>
        <w:t>埃里克·S·赖纳特（ERIK S.REINERT）著 其他作品：https://www.jiaokey.com/tag/埃里克·S·赖纳特（ERIK S.REINERT）著.html</w:t>
      </w:r>
    </w:p>
    <w:p>
      <w:r>
        <w:t>关键词搜索：https://www.jiaokey.com/tag/富国为什么富  穷国为什么穷.html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