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税收竞争与区域城镇化  以京津冀为例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税收竞争与区域城镇化  以京津冀为例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本书出售、求购地址：https://www.jiaokey.com/book/detail/12848639.html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关键词搜索：https://www.jiaokey.com/tag/税收竞争与区域城镇化  以京津冀为例.html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