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  建国以来  1949-1997  客观、深入浅出的经济政治述评  下</w:t>
      </w:r>
    </w:p>
    <w:p>
      <w:r>
        <w:rPr>
          <w:rFonts w:ascii="宋体" w:hAnsi="宋体" w:eastAsia="宋体"/>
          <w:sz w:val="24"/>
        </w:rPr>
        <w:t>张家敏著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  建国以来  1949-1997  客观、深入浅出的经济政治述评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本书出售、求购地址：https://www.jiaokey.com/book/detail/12843444.html</w:t>
      </w:r>
    </w:p>
    <w:p>
      <w:r>
        <w:t>更多相关图书推荐：https://www.jiaokey.com</w:t>
      </w:r>
    </w:p>
    <w:p>
      <w:r>
        <w:t>张家敏著 其他作品：https://www.jiaokey.com/tag/张家敏著.html</w:t>
      </w:r>
    </w:p>
    <w:p>
      <w:r>
        <w:t>香港政策研究所 出版图书：https://www.jiaokey.com/tag/香港政策研究所.html</w:t>
      </w:r>
    </w:p>
    <w:p>
      <w:r>
        <w:t>关键词搜索：https://www.jiaokey.com/tag/中华人民共和国史  建国以来  1949-1997  客观、深入浅出的经济政治述评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