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台湾外纪  30卷  上  卷1至卷12</w:t>
      </w:r>
    </w:p>
    <w:p>
      <w:r>
        <w:rPr>
          <w:rFonts w:ascii="宋体" w:hAnsi="宋体" w:eastAsia="宋体"/>
          <w:sz w:val="24"/>
        </w:rPr>
        <w:t>（清）江日昇撰；杨家骆主编；刘雅农总校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台湾外纪  30卷  上  卷1至卷12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（清）江日昇撰；杨家骆主编；刘雅农总校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本书出售、求购地址：https://www.jiaokey.com/book/detail/12843441.html</w:t>
      </w:r>
    </w:p>
    <w:p>
      <w:r>
        <w:t>更多相关图书推荐：https://www.jiaokey.com</w:t>
      </w:r>
    </w:p>
    <w:p>
      <w:r>
        <w:t>（清）江日昇撰；杨家骆主编；刘雅农总校 其他作品：https://www.jiaokey.com/tag/（清）江日昇撰；杨家骆主编；刘雅农总校.html</w:t>
      </w:r>
    </w:p>
    <w:p>
      <w:r>
        <w:t>世界书局 出版图书：https://www.jiaokey.com/tag/世界书局.html</w:t>
      </w:r>
    </w:p>
    <w:p>
      <w:r>
        <w:t>关键词搜索：https://www.jiaokey.com/tag/台湾外纪  30卷  上  卷1至卷12.html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