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客家族群与在地社会  台湾与全球的经验</w:t>
      </w:r>
    </w:p>
    <w:p>
      <w:r>
        <w:rPr>
          <w:rFonts w:ascii="宋体" w:hAnsi="宋体" w:eastAsia="宋体"/>
          <w:sz w:val="24"/>
        </w:rPr>
        <w:t>丘昌泰，萧新煌主编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客家族群与在地社会  台湾与全球的经验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中大出版中心；智勝文化事业有限公司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本书出售、求购地址：https://www.jiaokey.com/book/detail/12841401.html</w:t>
      </w:r>
    </w:p>
    <w:p>
      <w:r>
        <w:t>更多相关图书推荐：https://www.jiaokey.com</w:t>
      </w:r>
    </w:p>
    <w:p>
      <w:r>
        <w:t>丘昌泰，萧新煌主编 其他作品：https://www.jiaokey.com/tag/丘昌泰，萧新煌主编.html</w:t>
      </w:r>
    </w:p>
    <w:p>
      <w:r>
        <w:t>中大出版中心；智勝文化事业有限公司 出版图书：https://www.jiaokey.com/tag/中大出版中心；智勝文化事业有限公司.html</w:t>
      </w:r>
    </w:p>
    <w:p>
      <w:r>
        <w:t>关键词搜索：https://www.jiaokey.com/tag/客家族群与在地社会  台湾与全球的经验.html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