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动作的文艺复兴  现代默剧小史</w:t>
      </w:r>
    </w:p>
    <w:p>
      <w:r>
        <w:rPr>
          <w:rFonts w:ascii="宋体" w:hAnsi="宋体" w:eastAsia="宋体"/>
          <w:sz w:val="24"/>
        </w:rPr>
        <w:t>耿一伟著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动作的文艺复兴  现代默剧小史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黑眼睛文化事业有限公司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本书出售、求购地址：https://www.jiaokey.com/book/detail/12837210.html</w:t>
      </w:r>
    </w:p>
    <w:p>
      <w:r>
        <w:t>更多相关图书推荐：https://www.jiaokey.com</w:t>
      </w:r>
    </w:p>
    <w:p>
      <w:r>
        <w:t>耿一伟著 其他作品：https://www.jiaokey.com/tag/耿一伟著.html</w:t>
      </w:r>
    </w:p>
    <w:p>
      <w:r>
        <w:t>黑眼睛文化事业有限公司 出版图书：https://www.jiaokey.com/tag/黑眼睛文化事业有限公司.html</w:t>
      </w:r>
    </w:p>
    <w:p>
      <w:r>
        <w:t>关键词搜索：https://www.jiaokey.com/tag/动作的文艺复兴  现代默剧小史.html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