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全新商用色彩设计指南  色彩量化设计</w:t>
      </w:r>
    </w:p>
    <w:p>
      <w:r>
        <w:rPr>
          <w:rFonts w:ascii="宋体" w:hAnsi="宋体" w:eastAsia="宋体"/>
          <w:sz w:val="24"/>
        </w:rPr>
        <w:t>领先空间商用色彩研究中心著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全新商用色彩设计指南  色彩量化设计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领先空间商用色彩研究中心著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北星图书事业股份有限公司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本书出售、求购地址：https://www.jiaokey.com/book/detail/12834289.html</w:t>
      </w:r>
    </w:p>
    <w:p>
      <w:r>
        <w:t>更多相关图书推荐：https://www.jiaokey.com</w:t>
      </w:r>
    </w:p>
    <w:p>
      <w:r>
        <w:t>领先空间商用色彩研究中心著 其他作品：https://www.jiaokey.com/tag/领先空间商用色彩研究中心著.html</w:t>
      </w:r>
    </w:p>
    <w:p>
      <w:r>
        <w:t>北星图书事业股份有限公司 出版图书：https://www.jiaokey.com/tag/北星图书事业股份有限公司.html</w:t>
      </w:r>
    </w:p>
    <w:p>
      <w:r>
        <w:t>关键词搜索：https://www.jiaokey.com/tag/全新商用色彩设计指南  色彩量化设计.html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