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文则  文章精义</w:t>
      </w:r>
    </w:p>
    <w:p>
      <w:r>
        <w:rPr>
          <w:rFonts w:ascii="宋体" w:hAnsi="宋体" w:eastAsia="宋体"/>
          <w:sz w:val="24"/>
        </w:rPr>
        <w:t>陈骙，李涂著；刘明晖校点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文则  文章精义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陈骙，李涂著；刘明晖校点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中华书局香港分局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本书出售、求购地址：https://www.jiaokey.com/book/detail/12825277.html</w:t>
      </w:r>
    </w:p>
    <w:p>
      <w:r>
        <w:t>更多相关图书推荐：https://www.jiaokey.com</w:t>
      </w:r>
    </w:p>
    <w:p>
      <w:r>
        <w:t>陈骙，李涂著；刘明晖校点 其他作品：https://www.jiaokey.com/tag/陈骙，李涂著；刘明晖校点.html</w:t>
      </w:r>
    </w:p>
    <w:p>
      <w:r>
        <w:t>中华书局香港分局 出版图书：https://www.jiaokey.com/tag/中华书局香港分局.html</w:t>
      </w:r>
    </w:p>
    <w:p>
      <w:r>
        <w:t>关键词搜索：https://www.jiaokey.com/tag/文则  文章精义.html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