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转基因生物越境转移损害责任问题研究  以《生物安全议定书》第27条为中心</w:t>
      </w:r>
    </w:p>
    <w:p>
      <w:r>
        <w:rPr>
          <w:rFonts w:ascii="宋体" w:hAnsi="宋体" w:eastAsia="宋体"/>
          <w:sz w:val="24"/>
        </w:rPr>
        <w:t>阙占文著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转基因生物越境转移损害责任问题研究  以《生物安全议定书》第27条为中心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阙占文著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北京：法律出版社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本书出售、求购地址：https://www.jiaokey.com/book/detail/12824812.html</w:t>
      </w:r>
    </w:p>
    <w:p>
      <w:r>
        <w:t>更多相关图书推荐：https://www.jiaokey.com</w:t>
      </w:r>
    </w:p>
    <w:p>
      <w:r>
        <w:t>阙占文著 其他作品：https://www.jiaokey.com/tag/阙占文著.html</w:t>
      </w:r>
    </w:p>
    <w:p>
      <w:r>
        <w:t>北京：法律出版社 出版图书：https://www.jiaokey.com/tag/北京：法律出版社.html</w:t>
      </w:r>
    </w:p>
    <w:p>
      <w:r>
        <w:t>关键词搜索：https://www.jiaokey.com/tag/转基因生物越境转移损害责任问题研究  以《生物安全议定书》第27条为中心.html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