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许旌阳得道擒蛟铁树记</w:t>
      </w:r>
    </w:p>
    <w:p>
      <w:r>
        <w:rPr>
          <w:rFonts w:ascii="宋体" w:hAnsi="宋体" w:eastAsia="宋体"/>
          <w:sz w:val="24"/>
        </w:rPr>
        <w:t>（明）竹溪散人，邓氏编撰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3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许旌阳得道擒蛟铁树记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（明）竹溪散人，邓氏编撰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伟文图书出版社有限公司,民国66年12月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本书出售、求购地址：https://www.jiaokey.com/book/detail/12823889.html</w:t>
      </w:r>
    </w:p>
    <w:p>
      <w:r>
        <w:t>更多相关图书推荐：https://www.jiaokey.com</w:t>
      </w:r>
    </w:p>
    <w:p>
      <w:r>
        <w:t>（明）竹溪散人，邓氏编撰 其他作品：https://www.jiaokey.com/tag/（明）竹溪散人，邓氏编撰.html</w:t>
      </w:r>
    </w:p>
    <w:p>
      <w:r>
        <w:t>伟文图书出版社有限公司,民国66年12月 出版图书：https://www.jiaokey.com/tag/伟文图书出版社有限公司,民国66年12月.html</w:t>
      </w:r>
    </w:p>
    <w:p>
      <w:r>
        <w:t>关键词搜索：https://www.jiaokey.com/tag/许旌阳得道擒蛟铁树记.html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