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激荡与颠覆  世纪之交的香港泛文化</w:t>
      </w:r>
    </w:p>
    <w:p>
      <w:r>
        <w:rPr>
          <w:rFonts w:ascii="宋体" w:hAnsi="宋体" w:eastAsia="宋体"/>
          <w:sz w:val="24"/>
        </w:rPr>
        <w:t>劳有林著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激荡与颠覆  世纪之交的香港泛文化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红投资有限公司；青森文化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本书出售、求购地址：https://www.jiaokey.com/book/detail/12821142.html</w:t>
      </w:r>
    </w:p>
    <w:p>
      <w:r>
        <w:t>更多相关图书推荐：https://www.jiaokey.com</w:t>
      </w:r>
    </w:p>
    <w:p>
      <w:r>
        <w:t>劳有林著 其他作品：https://www.jiaokey.com/tag/劳有林著.html</w:t>
      </w:r>
    </w:p>
    <w:p>
      <w:r>
        <w:t>红投资有限公司；青森文化 出版图书：https://www.jiaokey.com/tag/红投资有限公司；青森文化.html</w:t>
      </w:r>
    </w:p>
    <w:p>
      <w:r>
        <w:t>关键词搜索：https://www.jiaokey.com/tag/激荡与颠覆  世纪之交的香港泛文化.html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