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最新工伤保险条例案例判解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最新工伤保险条例案例判解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本书出售、求购地址：https://www.jiaokey.com/book/detail/12818750.html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关键词搜索：https://www.jiaokey.com/tag/最新工伤保险条例案例判解.html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