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京津冀都市圈水资源循环经济机制研究</w:t>
      </w:r>
    </w:p>
    <w:p>
      <w:r>
        <w:rPr>
          <w:rFonts w:ascii="宋体" w:hAnsi="宋体" w:eastAsia="宋体"/>
          <w:sz w:val="24"/>
        </w:rPr>
        <w:t>沙景华，刘陶宁编著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京津冀都市圈水资源循环经济机制研究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沙景华，刘陶宁编著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本书出售、求购地址：https://www.jiaokey.com/book/detail/12817757.html</w:t>
      </w:r>
    </w:p>
    <w:p>
      <w:r>
        <w:t>更多相关图书推荐：https://www.jiaokey.com</w:t>
      </w:r>
    </w:p>
    <w:p>
      <w:r>
        <w:t>沙景华，刘陶宁编著 其他作品：https://www.jiaokey.com/tag/沙景华，刘陶宁编著.html</w:t>
      </w:r>
    </w:p>
    <w:p>
      <w:r>
        <w:t>北京：地质出版社 出版图书：https://www.jiaokey.com/tag/北京：地质出版社.html</w:t>
      </w:r>
    </w:p>
    <w:p>
      <w:r>
        <w:t>关键词搜索：https://www.jiaokey.com/tag/京津冀都市圈水资源循环经济机制研究.html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