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钢穴</w:t>
      </w:r>
    </w:p>
    <w:p>
      <w:r>
        <w:rPr>
          <w:rFonts w:ascii="宋体" w:hAnsi="宋体" w:eastAsia="宋体"/>
          <w:sz w:val="24"/>
        </w:rPr>
        <w:t>艾西莫夫著；蔡心语译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艾西莫夫著；蔡心语译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本书出售、求购地址：https://www.jiaokey.com/book/detail/12817009.html</w:t>
      </w:r>
    </w:p>
    <w:p>
      <w:r>
        <w:t>更多相关图书推荐：https://www.jiaokey.com</w:t>
      </w:r>
    </w:p>
    <w:p>
      <w:r>
        <w:t>艾西莫夫著；蔡心语译 其他作品：https://www.jiaokey.com/tag/艾西莫夫著；蔡心语译.html</w:t>
      </w:r>
    </w:p>
    <w:p>
      <w:r>
        <w:t>猫头鹰出版社；家庭传媒城邦分公司 出版图书：https://www.jiaokey.com/tag/猫头鹰出版社；家庭传媒城邦分公司.html</w:t>
      </w:r>
    </w:p>
    <w:p>
      <w:r>
        <w:t>关键词搜索：https://www.jiaokey.com/tag/钢穴.html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