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事物的核心</w:t>
      </w:r>
    </w:p>
    <w:p>
      <w:r>
        <w:rPr>
          <w:rFonts w:ascii="宋体" w:hAnsi="宋体" w:eastAsia="宋体"/>
          <w:sz w:val="24"/>
        </w:rPr>
        <w:t>格雷安·葛林著；傅惟慈译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格雷安·葛林著；傅惟慈译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本书出售、求购地址：https://www.jiaokey.com/book/detail/12816060.html</w:t>
      </w:r>
    </w:p>
    <w:p>
      <w:r>
        <w:t>更多相关图书推荐：https://www.jiaokey.com</w:t>
      </w:r>
    </w:p>
    <w:p>
      <w:r>
        <w:t>格雷安·葛林著；傅惟慈译 其他作品：https://www.jiaokey.com/tag/格雷安·葛林著；傅惟慈译.html</w:t>
      </w:r>
    </w:p>
    <w:p>
      <w:r>
        <w:t>脸谱出版社；城邦文化 出版图书：https://www.jiaokey.com/tag/脸谱出版社；城邦文化.html</w:t>
      </w:r>
    </w:p>
    <w:p>
      <w:r>
        <w:t>关键词搜索：https://www.jiaokey.com/tag/事物的核心.html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