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飞行原理  下</w:t>
      </w:r>
    </w:p>
    <w:p>
      <w:r>
        <w:rPr>
          <w:rFonts w:ascii="宋体" w:hAnsi="宋体" w:eastAsia="宋体"/>
          <w:sz w:val="24"/>
        </w:rPr>
        <w:t>顾兹敏高，维斯列耳夫著；常乾坤编译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顾兹敏高，维斯列耳夫著；常乾坤编译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本书出售、求购地址：https://www.jiaokey.com/book/detail/12813557.html</w:t>
      </w:r>
    </w:p>
    <w:p>
      <w:r>
        <w:t>更多相关图书推荐：https://www.jiaokey.com</w:t>
      </w:r>
    </w:p>
    <w:p>
      <w:r>
        <w:t>顾兹敏高，维斯列耳夫著；常乾坤编译 其他作品：https://www.jiaokey.com/tag/顾兹敏高，维斯列耳夫著；常乾坤编译.html</w:t>
      </w:r>
    </w:p>
    <w:p>
      <w:r>
        <w:t>中国人民解放军空军训练部 出版图书：https://www.jiaokey.com/tag/中国人民解放军空军训练部.html</w:t>
      </w:r>
    </w:p>
    <w:p>
      <w:r>
        <w:t>关键词搜索：https://www.jiaokey.com/tag/飞行原理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