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语文新课标必读丛书u3000第二辑u3000十万个为什么精选版本</w:t>
      </w:r>
    </w:p>
    <w:p>
      <w:r>
        <w:rPr>
          <w:rFonts w:ascii="宋体" w:hAnsi="宋体" w:eastAsia="宋体"/>
          <w:sz w:val="24"/>
        </w:rPr>
        <w:t>张定远总主编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语文新课标必读丛书u3000第二辑u3000十万个为什么精选版本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本书出售、求购地址：https://www.jiaokey.com/book/detail/12809793.html</w:t>
      </w:r>
    </w:p>
    <w:p>
      <w:r>
        <w:t>更多相关图书推荐：https://www.jiaokey.com</w:t>
      </w:r>
    </w:p>
    <w:p>
      <w:r>
        <w:t>张定远总主编 其他作品：https://www.jiaokey.com/tag/张定远总主编.html</w:t>
      </w:r>
    </w:p>
    <w:p>
      <w:r>
        <w:t>关键词搜索：https://www.jiaokey.com/tag/语文新课标必读丛书u3000第二辑u3000十万个为什么精选版本.html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