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机械零件课程设计  第2版</w:t>
      </w:r>
    </w:p>
    <w:p>
      <w:r>
        <w:rPr>
          <w:rFonts w:ascii="宋体" w:hAnsi="宋体" w:eastAsia="宋体"/>
          <w:sz w:val="24"/>
        </w:rPr>
        <w:t>全国中等专业学校机械原理与机械零件课程组；汤慧瑾，陈长生编；汤慧瑾主编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机械零件课程设计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全国中等专业学校机械原理与机械零件课程组；汤慧瑾，陈长生编；汤慧瑾主编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本书出售、求购地址：https://www.jiaokey.com/book/detail/12808200.html</w:t>
      </w:r>
    </w:p>
    <w:p>
      <w:r>
        <w:t>更多相关图书推荐：https://www.jiaokey.com</w:t>
      </w:r>
    </w:p>
    <w:p>
      <w:r>
        <w:t>全国中等专业学校机械原理与机械零件课程组；汤慧瑾，陈长生编；汤慧瑾主编 其他作品：https://www.jiaokey.com/tag/全国中等专业学校机械原理与机械零件课程组；汤慧瑾，陈长生编；汤慧瑾主编.html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关键词搜索：https://www.jiaokey.com/tag/机械零件课程设计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