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水资源开发与管理体制  政策、实施与前景</w:t>
      </w:r>
    </w:p>
    <w:p>
      <w:r>
        <w:rPr>
          <w:rFonts w:ascii="宋体" w:hAnsi="宋体" w:eastAsia="宋体"/>
          <w:sz w:val="24"/>
        </w:rPr>
        <w:t>（美）戈帕拉克里希南，（墨）托塔哈达，（加）彼斯瓦斯编著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水资源开发与管理体制  政策、实施与前景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（美）戈帕拉克里希南，（墨）托塔哈达，（加）彼斯瓦斯编著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本书出售、求购地址：https://www.jiaokey.com/book/detail/12797947.html</w:t>
      </w:r>
    </w:p>
    <w:p>
      <w:r>
        <w:t>更多相关图书推荐：https://www.jiaokey.com</w:t>
      </w:r>
    </w:p>
    <w:p>
      <w:r>
        <w:t>（美）戈帕拉克里希南，（墨）托塔哈达，（加）彼斯瓦斯编著 其他作品：https://www.jiaokey.com/tag/（美）戈帕拉克里希南，（墨）托塔哈达，（加）彼斯瓦斯编著.html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关键词搜索：https://www.jiaokey.com/tag/水资源开发与管理体制  政策、实施与前景.html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