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如何说，青春期孩子才会听</w:t>
      </w:r>
    </w:p>
    <w:p>
      <w:r>
        <w:rPr>
          <w:rFonts w:ascii="宋体" w:hAnsi="宋体" w:eastAsia="宋体"/>
          <w:sz w:val="24"/>
        </w:rPr>
        <w:t>（德）黑尔加·吉尔特勒著；缪雨露译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如何说，青春期孩子才会听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（德）黑尔加·吉尔特勒著；缪雨露译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本书出售、求购地址：https://www.jiaokey.com/book/detail/12795810.html</w:t>
      </w:r>
    </w:p>
    <w:p>
      <w:r>
        <w:t>更多相关图书推荐：https://www.jiaokey.com</w:t>
      </w:r>
    </w:p>
    <w:p>
      <w:r>
        <w:t>（德）黑尔加·吉尔特勒著；缪雨露译 其他作品：https://www.jiaokey.com/tag/（德）黑尔加·吉尔特勒著；缪雨露译.html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关键词搜索：https://www.jiaokey.com/tag/如何说，青春期孩子才会听.html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